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center"/>
        <w:rPr/>
      </w:pPr>
      <w:r>
        <w:rPr>
          <w:rStyle w:val="Fontstyle01"/>
          <w:sz w:val="18"/>
          <w:szCs w:val="18"/>
        </w:rPr>
        <w:t>ПОВІДОМЛЕННЯ</w:t>
      </w:r>
      <w:r>
        <w:rPr>
          <w:rFonts w:ascii="TimesNewRomanPS-BoldMT" w:hAnsi="TimesNewRomanPS-BoldMT"/>
          <w:b/>
          <w:bCs/>
          <w:color w:val="000000"/>
          <w:sz w:val="18"/>
          <w:szCs w:val="18"/>
        </w:rPr>
        <w:br/>
      </w:r>
      <w:r>
        <w:rPr>
          <w:rStyle w:val="Fontstyle01"/>
          <w:sz w:val="18"/>
          <w:szCs w:val="18"/>
        </w:rPr>
        <w:t xml:space="preserve">про внесення змін до проекту порядку денного чергових загальних зборів акціонерного товариства, що скликані на 29 квітня 2021 року </w:t>
      </w:r>
    </w:p>
    <w:p>
      <w:pPr>
        <w:pStyle w:val="Normal"/>
        <w:spacing w:before="0" w:after="0"/>
        <w:jc w:val="center"/>
        <w:rPr>
          <w:sz w:val="18"/>
          <w:szCs w:val="18"/>
        </w:rPr>
      </w:pPr>
      <w:r>
        <w:rPr>
          <w:sz w:val="18"/>
          <w:szCs w:val="18"/>
        </w:rPr>
      </w:r>
    </w:p>
    <w:p>
      <w:pPr>
        <w:pStyle w:val="Normal"/>
        <w:spacing w:before="0" w:after="0"/>
        <w:rPr/>
      </w:pPr>
      <w:r>
        <w:rPr>
          <w:rStyle w:val="Fontstyle01"/>
          <w:sz w:val="18"/>
          <w:szCs w:val="18"/>
        </w:rPr>
        <w:t xml:space="preserve">Повне найменування товариства: </w:t>
      </w:r>
    </w:p>
    <w:p>
      <w:pPr>
        <w:pStyle w:val="Normal"/>
        <w:spacing w:before="0" w:after="0"/>
        <w:rPr/>
      </w:pPr>
      <w:r>
        <w:rPr>
          <w:rStyle w:val="Fontstyle21"/>
          <w:sz w:val="18"/>
          <w:szCs w:val="18"/>
        </w:rPr>
        <w:t>ПРИВАТНЕ АКЦІОНЕРНЕ ТОВАРИСТВО "ХМЕЛЬНИЦЬКЕ ШЛЯХОВО-БУДІВЕЛЬНЕ УПРАВЛІННЯ № 56"</w:t>
      </w:r>
    </w:p>
    <w:p>
      <w:pPr>
        <w:pStyle w:val="Normal"/>
        <w:spacing w:before="0" w:after="0"/>
        <w:rPr/>
      </w:pPr>
      <w:r>
        <w:rPr>
          <w:rStyle w:val="Fontstyle01"/>
          <w:sz w:val="18"/>
          <w:szCs w:val="18"/>
        </w:rPr>
        <w:t xml:space="preserve">Місцезнаходження товариства: </w:t>
      </w:r>
    </w:p>
    <w:p>
      <w:pPr>
        <w:pStyle w:val="Normal"/>
        <w:spacing w:before="0" w:after="0"/>
        <w:rPr>
          <w:rFonts w:ascii="TimesNewRomanPSMT" w:hAnsi="TimesNewRomanPSMT"/>
          <w:color w:val="000000"/>
          <w:sz w:val="18"/>
          <w:szCs w:val="18"/>
        </w:rPr>
      </w:pPr>
      <w:r>
        <w:rPr>
          <w:rFonts w:ascii="TimesNewRomanPSMT" w:hAnsi="TimesNewRomanPSMT"/>
          <w:color w:val="000000"/>
          <w:sz w:val="18"/>
          <w:szCs w:val="18"/>
        </w:rPr>
        <w:t>Україна, 29016, Хмельницька область, місто Хмельницький, вул. Західна Окружна, 1</w:t>
      </w:r>
    </w:p>
    <w:p>
      <w:pPr>
        <w:pStyle w:val="Normal"/>
        <w:spacing w:before="0" w:after="0"/>
        <w:jc w:val="center"/>
        <w:rPr/>
      </w:pPr>
      <w:r>
        <w:rPr>
          <w:rStyle w:val="Fontstyle01"/>
          <w:sz w:val="18"/>
          <w:szCs w:val="18"/>
        </w:rPr>
        <w:t>Шановні акціонери!</w:t>
      </w:r>
    </w:p>
    <w:p>
      <w:pPr>
        <w:pStyle w:val="Normal"/>
        <w:spacing w:before="0" w:after="0"/>
        <w:jc w:val="both"/>
        <w:rPr/>
      </w:pPr>
      <w:r>
        <w:rPr>
          <w:rStyle w:val="Fontstyle21"/>
          <w:sz w:val="18"/>
          <w:szCs w:val="18"/>
        </w:rPr>
        <w:t xml:space="preserve">Чергові загальні збори ПРИВАТНОГО АКЦІОНЕРНОГО ТОВАРИСТВА "ХМЕЛЬНИЦЬКЕ ШЛЯХОВО-БУДІВЕЛЬНЕ УПРАВЛІННЯ № 56"або Товариство) скликані на 29 </w:t>
      </w:r>
      <w:r>
        <w:rPr>
          <w:rStyle w:val="Fontstyle01"/>
          <w:sz w:val="18"/>
          <w:szCs w:val="18"/>
        </w:rPr>
        <w:t>квітня</w:t>
      </w:r>
      <w:r>
        <w:rPr>
          <w:rStyle w:val="Fontstyle21"/>
          <w:sz w:val="18"/>
          <w:szCs w:val="18"/>
        </w:rPr>
        <w:t xml:space="preserve"> 2021 року о 11.00 годині за адресою місцезнаходження Товариства: Україна, 29016, Хмельницька область, місто Хмельницький, вул. Західна Окружна, 1</w:t>
      </w:r>
    </w:p>
    <w:p>
      <w:pPr>
        <w:pStyle w:val="Normal"/>
        <w:spacing w:before="0" w:after="0"/>
        <w:jc w:val="both"/>
        <w:rPr/>
      </w:pPr>
      <w:r>
        <w:rPr>
          <w:rStyle w:val="Fontstyle01"/>
          <w:sz w:val="18"/>
          <w:szCs w:val="18"/>
        </w:rPr>
        <w:t>ПРАТ "ХМЕЛЬНИЦЬКЕ ШБУ № 56", відповідно до вимог ст. 38 Закону України "Про акціонерні товариства", повідомляє, що за пропозицією акціонера до проекту порядку денного чергових загальних зборів, що скликані на 29 квітня 2021 року, внесені нові питання:</w:t>
      </w:r>
    </w:p>
    <w:p>
      <w:pPr>
        <w:pStyle w:val="ListParagraph"/>
        <w:numPr>
          <w:ilvl w:val="0"/>
          <w:numId w:val="1"/>
        </w:numPr>
        <w:spacing w:lineRule="auto" w:line="240" w:before="0" w:after="0"/>
        <w:contextualSpacing/>
        <w:jc w:val="both"/>
        <w:rPr/>
      </w:pPr>
      <w:r>
        <w:rPr>
          <w:rStyle w:val="Fontstyle01"/>
          <w:rFonts w:ascii="TimesNewRomanPSMT" w:hAnsi="TimesNewRomanPSMT"/>
          <w:b w:val="false"/>
          <w:color w:val="auto"/>
          <w:sz w:val="18"/>
          <w:szCs w:val="18"/>
        </w:rPr>
        <w:t>Про попереднє надання згоди на вчинення значних правочинів;</w:t>
      </w:r>
    </w:p>
    <w:p>
      <w:pPr>
        <w:pStyle w:val="ListParagraph"/>
        <w:spacing w:lineRule="auto" w:line="240" w:before="0" w:after="0"/>
        <w:contextualSpacing/>
        <w:jc w:val="both"/>
        <w:rPr>
          <w:rFonts w:ascii="TimesNewRomanPSMT" w:hAnsi="TimesNewRomanPSMT"/>
          <w:b w:val="false"/>
          <w:b w:val="false"/>
          <w:color w:val="auto"/>
          <w:sz w:val="18"/>
          <w:szCs w:val="18"/>
        </w:rPr>
      </w:pPr>
      <w:r>
        <w:rPr>
          <w:rFonts w:ascii="TimesNewRomanPSMT" w:hAnsi="TimesNewRomanPSMT"/>
          <w:b w:val="false"/>
          <w:color w:val="auto"/>
          <w:sz w:val="18"/>
          <w:szCs w:val="18"/>
        </w:rPr>
      </w:r>
    </w:p>
    <w:p>
      <w:pPr>
        <w:pStyle w:val="Normal"/>
        <w:spacing w:before="0" w:after="0"/>
        <w:ind w:left="0" w:right="0" w:firstLine="360"/>
        <w:jc w:val="both"/>
        <w:rPr/>
      </w:pPr>
      <w:r>
        <w:rPr>
          <w:rStyle w:val="Fontstyle01"/>
          <w:sz w:val="18"/>
          <w:szCs w:val="18"/>
        </w:rPr>
        <w:t xml:space="preserve">Порядок денний чергових загальних зборів </w:t>
      </w:r>
      <w:r>
        <w:rPr>
          <w:rFonts w:ascii="TimesNewRomanPS-BoldMT" w:hAnsi="TimesNewRomanPS-BoldMT"/>
          <w:b/>
          <w:bCs/>
          <w:color w:val="000000"/>
          <w:sz w:val="18"/>
          <w:szCs w:val="18"/>
        </w:rPr>
        <w:t>ПРАТ "ХМЕЛЬНИЦЬКЕ ШБУ № 56"</w:t>
      </w:r>
      <w:r>
        <w:rPr>
          <w:rStyle w:val="Fontstyle01"/>
          <w:sz w:val="18"/>
          <w:szCs w:val="18"/>
        </w:rPr>
        <w:t xml:space="preserve"> </w:t>
      </w:r>
      <w:r>
        <w:rPr>
          <w:rStyle w:val="Fontstyle01"/>
          <w:sz w:val="18"/>
          <w:szCs w:val="18"/>
        </w:rPr>
        <w:t xml:space="preserve">29 </w:t>
      </w:r>
      <w:r>
        <w:rPr>
          <w:rStyle w:val="Fontstyle01"/>
          <w:sz w:val="18"/>
          <w:szCs w:val="18"/>
        </w:rPr>
        <w:t xml:space="preserve">квітня 2021 року: </w:t>
      </w:r>
    </w:p>
    <w:p>
      <w:pPr>
        <w:pStyle w:val="NoSpacing"/>
        <w:numPr>
          <w:ilvl w:val="0"/>
          <w:numId w:val="2"/>
        </w:numPr>
        <w:ind w:left="0" w:right="0" w:firstLine="360"/>
        <w:jc w:val="both"/>
        <w:rPr>
          <w:rFonts w:ascii="Times New Roman" w:hAnsi="Times New Roman" w:cs="Times New Roman"/>
          <w:bCs/>
          <w:sz w:val="18"/>
          <w:szCs w:val="18"/>
        </w:rPr>
      </w:pPr>
      <w:r>
        <w:rPr>
          <w:rFonts w:cs="Times New Roman" w:ascii="Times New Roman" w:hAnsi="Times New Roman"/>
          <w:bCs/>
          <w:sz w:val="18"/>
          <w:szCs w:val="18"/>
        </w:rPr>
        <w:t>Про обрання членів Лічильної комісії загальних зборів Товариства, та про затвердження порядку ведення (регламенту) річних загальних зборів Товариства.</w:t>
      </w:r>
    </w:p>
    <w:p>
      <w:pPr>
        <w:pStyle w:val="NoSpacing"/>
        <w:numPr>
          <w:ilvl w:val="0"/>
          <w:numId w:val="2"/>
        </w:numPr>
        <w:ind w:left="0" w:right="0" w:firstLine="360"/>
        <w:jc w:val="both"/>
        <w:rPr>
          <w:rFonts w:ascii="Times New Roman" w:hAnsi="Times New Roman" w:cs="Times New Roman"/>
          <w:bCs/>
          <w:sz w:val="18"/>
          <w:szCs w:val="18"/>
        </w:rPr>
      </w:pPr>
      <w:r>
        <w:rPr>
          <w:rFonts w:cs="Times New Roman" w:ascii="Times New Roman" w:hAnsi="Times New Roman"/>
          <w:bCs/>
          <w:sz w:val="18"/>
          <w:szCs w:val="18"/>
        </w:rPr>
        <w:t xml:space="preserve">Про схвалення рішення Наглядової ради Товариства про затвердження порядку та способу засвідчення бюлетенів для голосування на загальних зборах.     </w:t>
      </w:r>
    </w:p>
    <w:p>
      <w:pPr>
        <w:pStyle w:val="NoSpacing"/>
        <w:numPr>
          <w:ilvl w:val="0"/>
          <w:numId w:val="2"/>
        </w:numPr>
        <w:ind w:left="0" w:right="0" w:firstLine="360"/>
        <w:jc w:val="both"/>
        <w:rPr>
          <w:rFonts w:ascii="Times New Roman" w:hAnsi="Times New Roman" w:cs="Times New Roman"/>
          <w:bCs/>
          <w:sz w:val="18"/>
          <w:szCs w:val="18"/>
        </w:rPr>
      </w:pPr>
      <w:r>
        <w:rPr>
          <w:rFonts w:cs="Times New Roman" w:ascii="Times New Roman" w:hAnsi="Times New Roman"/>
          <w:bCs/>
          <w:sz w:val="18"/>
          <w:szCs w:val="18"/>
        </w:rPr>
        <w:t>Про розгляд звітів Генерального директора, Наглядової ради та Ревізійної комісії Товариства про діяльність Товариства за 2020 рік. Прийняття рішення за наслідками розгляду звіту Генерального директора, Наглядової ради  та звіту (висновків) Ревізійної комісії Товариства.</w:t>
      </w:r>
    </w:p>
    <w:p>
      <w:pPr>
        <w:pStyle w:val="NoSpacing"/>
        <w:numPr>
          <w:ilvl w:val="0"/>
          <w:numId w:val="2"/>
        </w:numPr>
        <w:ind w:left="0" w:right="0" w:firstLine="360"/>
        <w:jc w:val="both"/>
        <w:rPr>
          <w:rFonts w:ascii="Times New Roman" w:hAnsi="Times New Roman" w:cs="Times New Roman"/>
          <w:bCs/>
          <w:sz w:val="18"/>
          <w:szCs w:val="18"/>
        </w:rPr>
      </w:pPr>
      <w:r>
        <w:rPr>
          <w:rFonts w:cs="Times New Roman" w:ascii="Times New Roman" w:hAnsi="Times New Roman"/>
          <w:bCs/>
          <w:sz w:val="18"/>
          <w:szCs w:val="18"/>
        </w:rPr>
        <w:t>Про затвердження річного звіту Товариства за 2020 рік.</w:t>
      </w:r>
    </w:p>
    <w:p>
      <w:pPr>
        <w:pStyle w:val="NoSpacing"/>
        <w:numPr>
          <w:ilvl w:val="0"/>
          <w:numId w:val="2"/>
        </w:numPr>
        <w:ind w:left="0" w:right="0" w:firstLine="360"/>
        <w:jc w:val="both"/>
        <w:rPr>
          <w:rFonts w:ascii="Times New Roman" w:hAnsi="Times New Roman" w:cs="Times New Roman"/>
          <w:bCs/>
          <w:sz w:val="18"/>
          <w:szCs w:val="18"/>
        </w:rPr>
      </w:pPr>
      <w:r>
        <w:rPr>
          <w:rFonts w:cs="Times New Roman" w:ascii="Times New Roman" w:hAnsi="Times New Roman"/>
          <w:bCs/>
          <w:sz w:val="18"/>
          <w:szCs w:val="18"/>
        </w:rPr>
        <w:t>Про розподіл прибутку (збитків) Товариства за підсумками роботи за 2020 рік з урахуванням вимог, передбачених законом.</w:t>
      </w:r>
    </w:p>
    <w:p>
      <w:pPr>
        <w:pStyle w:val="NoSpacing"/>
        <w:numPr>
          <w:ilvl w:val="0"/>
          <w:numId w:val="2"/>
        </w:numPr>
        <w:ind w:left="0" w:right="0" w:firstLine="360"/>
        <w:jc w:val="both"/>
        <w:rPr>
          <w:rFonts w:ascii="Times New Roman" w:hAnsi="Times New Roman" w:cs="Times New Roman"/>
          <w:bCs/>
          <w:sz w:val="18"/>
          <w:szCs w:val="18"/>
        </w:rPr>
      </w:pPr>
      <w:r>
        <w:rPr>
          <w:rFonts w:cs="Times New Roman" w:ascii="Times New Roman" w:hAnsi="Times New Roman"/>
          <w:bCs/>
          <w:sz w:val="18"/>
          <w:szCs w:val="18"/>
        </w:rPr>
        <w:t>Про схвалення значних правочинів.</w:t>
      </w:r>
    </w:p>
    <w:p>
      <w:pPr>
        <w:pStyle w:val="NoSpacing"/>
        <w:numPr>
          <w:ilvl w:val="0"/>
          <w:numId w:val="2"/>
        </w:numPr>
        <w:ind w:left="0" w:right="0" w:firstLine="360"/>
        <w:jc w:val="both"/>
        <w:rPr>
          <w:rFonts w:ascii="Times New Roman" w:hAnsi="Times New Roman" w:cs="Times New Roman"/>
          <w:bCs/>
          <w:sz w:val="18"/>
          <w:szCs w:val="18"/>
        </w:rPr>
      </w:pPr>
      <w:r>
        <w:rPr>
          <w:rFonts w:cs="Times New Roman" w:ascii="Times New Roman" w:hAnsi="Times New Roman"/>
          <w:bCs/>
          <w:sz w:val="18"/>
          <w:szCs w:val="18"/>
        </w:rPr>
        <w:t>Про попереднє надання згоди на вчинення значних правочинів, які можуть вчинятися Товариством протягом одного року з дня проведення річних загальних зборів акціонерів.</w:t>
      </w:r>
    </w:p>
    <w:p>
      <w:pPr>
        <w:pStyle w:val="NoSpacing"/>
        <w:numPr>
          <w:ilvl w:val="0"/>
          <w:numId w:val="2"/>
        </w:numPr>
        <w:ind w:left="0" w:right="0" w:firstLine="360"/>
        <w:jc w:val="both"/>
        <w:rPr>
          <w:rFonts w:ascii="Times New Roman" w:hAnsi="Times New Roman" w:cs="Times New Roman"/>
          <w:bCs/>
          <w:sz w:val="18"/>
          <w:szCs w:val="18"/>
        </w:rPr>
      </w:pPr>
      <w:r>
        <w:rPr>
          <w:rFonts w:cs="Times New Roman" w:ascii="Times New Roman" w:hAnsi="Times New Roman"/>
          <w:bCs/>
          <w:sz w:val="18"/>
          <w:szCs w:val="18"/>
        </w:rPr>
        <w:t>Про припинення повноважень членів наглядової ради.</w:t>
      </w:r>
    </w:p>
    <w:p>
      <w:pPr>
        <w:pStyle w:val="NoSpacing"/>
        <w:numPr>
          <w:ilvl w:val="0"/>
          <w:numId w:val="2"/>
        </w:numPr>
        <w:ind w:left="0" w:right="0" w:firstLine="360"/>
        <w:jc w:val="both"/>
        <w:rPr>
          <w:rFonts w:ascii="Times New Roman" w:hAnsi="Times New Roman" w:cs="Times New Roman"/>
          <w:bCs/>
          <w:sz w:val="18"/>
          <w:szCs w:val="18"/>
        </w:rPr>
      </w:pPr>
      <w:r>
        <w:rPr>
          <w:rFonts w:cs="Times New Roman" w:ascii="Times New Roman" w:hAnsi="Times New Roman"/>
          <w:bCs/>
          <w:sz w:val="18"/>
          <w:szCs w:val="18"/>
        </w:rPr>
        <w:t>Обрання членів Наглядової ради Товариства.</w:t>
      </w:r>
    </w:p>
    <w:p>
      <w:pPr>
        <w:pStyle w:val="NoSpacing"/>
        <w:numPr>
          <w:ilvl w:val="0"/>
          <w:numId w:val="2"/>
        </w:numPr>
        <w:ind w:left="0" w:right="0" w:firstLine="360"/>
        <w:jc w:val="both"/>
        <w:rPr>
          <w:rFonts w:ascii="Times New Roman" w:hAnsi="Times New Roman" w:cs="Times New Roman"/>
          <w:bCs/>
          <w:sz w:val="18"/>
          <w:szCs w:val="18"/>
        </w:rPr>
      </w:pPr>
      <w:r>
        <w:rPr>
          <w:rFonts w:cs="Times New Roman" w:ascii="Times New Roman" w:hAnsi="Times New Roman"/>
          <w:bCs/>
          <w:sz w:val="18"/>
          <w:szCs w:val="18"/>
        </w:rPr>
        <w:t>Про припинення повноважень ревізійної комісії.</w:t>
      </w:r>
    </w:p>
    <w:p>
      <w:pPr>
        <w:pStyle w:val="NoSpacing"/>
        <w:numPr>
          <w:ilvl w:val="0"/>
          <w:numId w:val="2"/>
        </w:numPr>
        <w:ind w:left="0" w:right="0" w:firstLine="360"/>
        <w:jc w:val="both"/>
        <w:rPr>
          <w:rFonts w:ascii="Times New Roman" w:hAnsi="Times New Roman" w:cs="Times New Roman"/>
          <w:bCs/>
          <w:sz w:val="18"/>
          <w:szCs w:val="18"/>
        </w:rPr>
      </w:pPr>
      <w:r>
        <w:rPr>
          <w:rFonts w:cs="Times New Roman" w:ascii="Times New Roman" w:hAnsi="Times New Roman"/>
          <w:bCs/>
          <w:sz w:val="18"/>
          <w:szCs w:val="18"/>
        </w:rPr>
        <w:t>Обрання членів ревізійної комісії Товариства.</w:t>
      </w:r>
    </w:p>
    <w:p>
      <w:pPr>
        <w:pStyle w:val="NoSpacing"/>
        <w:numPr>
          <w:ilvl w:val="0"/>
          <w:numId w:val="2"/>
        </w:numPr>
        <w:ind w:left="0" w:right="0" w:firstLine="360"/>
        <w:jc w:val="both"/>
        <w:rPr>
          <w:rFonts w:ascii="Times New Roman" w:hAnsi="Times New Roman" w:cs="Times New Roman"/>
          <w:bCs/>
          <w:sz w:val="18"/>
          <w:szCs w:val="18"/>
        </w:rPr>
      </w:pPr>
      <w:r>
        <w:rPr>
          <w:rFonts w:cs="Times New Roman" w:ascii="Times New Roman" w:hAnsi="Times New Roman"/>
          <w:bCs/>
          <w:sz w:val="18"/>
          <w:szCs w:val="18"/>
        </w:rPr>
        <w:t>Про попереднє надання згоди на вчинення значних правочинів, які можуть вчинятися Товариством протягом одного року з дня проведення річних загальних зборів акціонерів.</w:t>
      </w:r>
    </w:p>
    <w:p>
      <w:pPr>
        <w:pStyle w:val="ListParagraph"/>
        <w:spacing w:before="0" w:after="0"/>
        <w:ind w:left="945" w:right="0" w:hanging="0"/>
        <w:contextualSpacing/>
        <w:jc w:val="both"/>
        <w:rPr>
          <w:sz w:val="18"/>
          <w:szCs w:val="18"/>
        </w:rPr>
      </w:pPr>
      <w:r>
        <w:rPr>
          <w:sz w:val="18"/>
          <w:szCs w:val="18"/>
        </w:rPr>
      </w:r>
    </w:p>
    <w:p>
      <w:pPr>
        <w:pStyle w:val="Normal"/>
        <w:spacing w:before="0" w:after="0"/>
        <w:ind w:left="0" w:right="0" w:firstLine="360"/>
        <w:jc w:val="both"/>
        <w:rPr/>
      </w:pPr>
      <w:r>
        <w:rPr>
          <w:rStyle w:val="Fontstyle01"/>
          <w:sz w:val="18"/>
          <w:szCs w:val="18"/>
        </w:rPr>
        <w:t>Відповідно до вимог ч. 8 ст. 38 Закону України "Про акціонерні товариства", повідомляємо про проекти рішень, що додаються на підставі пропозиції акціонера:</w:t>
      </w:r>
    </w:p>
    <w:tbl>
      <w:tblPr>
        <w:tblW w:w="10255" w:type="dxa"/>
        <w:jc w:val="left"/>
        <w:tblInd w:w="0" w:type="dxa"/>
        <w:tblLayout w:type="fixed"/>
        <w:tblCellMar>
          <w:top w:w="0" w:type="dxa"/>
          <w:left w:w="108" w:type="dxa"/>
          <w:bottom w:w="0" w:type="dxa"/>
          <w:right w:w="108" w:type="dxa"/>
        </w:tblCellMar>
      </w:tblPr>
      <w:tblGrid>
        <w:gridCol w:w="10255"/>
      </w:tblGrid>
      <w:tr>
        <w:trPr/>
        <w:tc>
          <w:tcPr>
            <w:tcW w:w="102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both"/>
              <w:rPr/>
            </w:pPr>
            <w:r>
              <w:rPr>
                <w:rStyle w:val="Fontstyle01"/>
                <w:sz w:val="18"/>
                <w:szCs w:val="18"/>
              </w:rPr>
              <w:t>Питання порядку денного: "12.</w:t>
            </w:r>
            <w:r>
              <w:rPr>
                <w:sz w:val="18"/>
                <w:szCs w:val="18"/>
              </w:rPr>
              <w:t xml:space="preserve"> </w:t>
            </w:r>
            <w:r>
              <w:rPr>
                <w:rStyle w:val="Fontstyle01"/>
                <w:sz w:val="18"/>
                <w:szCs w:val="18"/>
              </w:rPr>
              <w:t xml:space="preserve">Про попереднє надання згоди на вчинення значних правочинів, які можуть вчинятися Товариством протягом одного року з дня проведення річних загальних зборів акціонерів.". </w:t>
            </w:r>
          </w:p>
          <w:p>
            <w:pPr>
              <w:pStyle w:val="Normal"/>
              <w:widowControl w:val="false"/>
              <w:spacing w:before="0" w:after="0"/>
              <w:jc w:val="both"/>
              <w:rPr/>
            </w:pPr>
            <w:r>
              <w:rPr>
                <w:rStyle w:val="Fontstyle01"/>
                <w:sz w:val="18"/>
                <w:szCs w:val="18"/>
              </w:rPr>
              <w:t xml:space="preserve">Проект рішення: </w:t>
            </w:r>
          </w:p>
          <w:p>
            <w:pPr>
              <w:pStyle w:val="Normal"/>
              <w:widowControl w:val="false"/>
              <w:spacing w:before="0" w:after="0"/>
              <w:jc w:val="both"/>
              <w:rPr/>
            </w:pPr>
            <w:r>
              <w:rPr>
                <w:rStyle w:val="Fontstyle21"/>
                <w:sz w:val="18"/>
                <w:szCs w:val="18"/>
              </w:rPr>
              <w:t>"</w:t>
            </w:r>
            <w:r>
              <w:rPr>
                <w:rFonts w:ascii="TimesNewRomanPSMT" w:hAnsi="TimesNewRomanPSMT"/>
                <w:i/>
                <w:color w:val="000000"/>
                <w:sz w:val="18"/>
                <w:szCs w:val="18"/>
              </w:rPr>
              <w:t>Надати попередню згоду на вчинення значних правочинів, прийняття рішення про вчинення яких віднесено до компетенції Загальних зборів акціонерів та які можуть вчинятися Товариством протягом одного року з дати прийняття цього рішення у ході поточної господарської діяльності, а саме (характер правочинів): договорів підряду, субпідряду надання послуг, купівлі-продажу, поставки, оренди, суборенди, лізингу, договорів по розпорядженню Товариством об’єктами нерухомого майна (відчуження, придбання, продаж, передача в користування третіх осіб, в оренду, інше розпорядження майном), договорів по  розпорядженню Товариством об’єктами рухомого майна (відчуження, придбання, продаж, передача в користування третіх осіб, в оренду, інше розпорядження майном), договорів направлених на отримання Товариством грошових коштів (договори позики, кредитні договори, фінансової допомоги), договорів  по забезпеченню виконання Товариством своїх зобов’язань за укладеними договорами (договори застави, поруки, гарантії тощо), договорів по придбанню та реалізації цінних паперів, часток в статутних капіталах господарських товариств, договорів цесії, новації боргу, факторингу та будь-яких інших договорів і документів, які можуть укладатися або підписуватися Товариством без виключення та обмежень, включаючи будь-які додаткові угоди про внесення змін до перелічених вище правочинів (зокрема договорів про викладення у новій редакції). Гранична сукупна вартість всіх  перелічених правочинів не може перевищувати 15 000 000 000,00 (п'ятнадцять мільярдів) гривень 00 копійок.</w:t>
            </w:r>
          </w:p>
          <w:p>
            <w:pPr>
              <w:pStyle w:val="Normal"/>
              <w:widowControl w:val="false"/>
              <w:spacing w:before="0" w:after="0"/>
              <w:jc w:val="both"/>
              <w:rPr>
                <w:rFonts w:ascii="TimesNewRomanPSMT" w:hAnsi="TimesNewRomanPSMT"/>
                <w:i/>
                <w:i/>
                <w:color w:val="000000"/>
                <w:sz w:val="18"/>
                <w:szCs w:val="18"/>
              </w:rPr>
            </w:pPr>
            <w:r>
              <w:rPr>
                <w:rFonts w:ascii="TimesNewRomanPSMT" w:hAnsi="TimesNewRomanPSMT"/>
                <w:i/>
                <w:color w:val="000000"/>
                <w:sz w:val="18"/>
                <w:szCs w:val="18"/>
              </w:rPr>
              <w:t>Уповноважити Наглядову раду Товариства здійснити необхідні дії щодо узгодження всіх умов таких правочинів відповідно до цього рішення Загальних зборів.</w:t>
            </w:r>
          </w:p>
          <w:p>
            <w:pPr>
              <w:pStyle w:val="Normal"/>
              <w:widowControl w:val="false"/>
              <w:spacing w:before="0" w:after="0"/>
              <w:jc w:val="both"/>
              <w:rPr/>
            </w:pPr>
            <w:r>
              <w:rPr>
                <w:rFonts w:ascii="TimesNewRomanPSMT" w:hAnsi="TimesNewRomanPSMT"/>
                <w:i/>
                <w:color w:val="000000"/>
                <w:sz w:val="18"/>
                <w:szCs w:val="18"/>
              </w:rPr>
              <w:t>Уповноважити Генерального директора (або особу, яка виконує його обов’язки у разі його тимчасової відсутності) на укладання (підписання) від імені Товариства таких значних правочинів відповідно до узгоджених Наглядовою радою Товариства умов.</w:t>
            </w:r>
            <w:r>
              <w:rPr>
                <w:rStyle w:val="Fontstyle21"/>
                <w:sz w:val="18"/>
                <w:szCs w:val="18"/>
              </w:rPr>
              <w:t>"</w:t>
            </w:r>
          </w:p>
        </w:tc>
      </w:tr>
    </w:tbl>
    <w:p>
      <w:pPr>
        <w:pStyle w:val="Normal"/>
        <w:spacing w:before="0" w:after="0"/>
        <w:rPr>
          <w:rFonts w:ascii="TimesNewRomanPS-BoldItalicMT" w:hAnsi="TimesNewRomanPS-BoldItalicMT"/>
          <w:b/>
          <w:b/>
          <w:bCs/>
          <w:i/>
          <w:i/>
          <w:iCs/>
          <w:color w:val="000000"/>
          <w:sz w:val="18"/>
          <w:szCs w:val="18"/>
        </w:rPr>
      </w:pPr>
      <w:r>
        <w:rPr>
          <w:rFonts w:ascii="TimesNewRomanPS-BoldItalicMT" w:hAnsi="TimesNewRomanPS-BoldItalicMT"/>
          <w:b/>
          <w:bCs/>
          <w:i/>
          <w:iCs/>
          <w:color w:val="000000"/>
          <w:sz w:val="18"/>
          <w:szCs w:val="18"/>
        </w:rPr>
      </w:r>
    </w:p>
    <w:p>
      <w:pPr>
        <w:pStyle w:val="Normal"/>
        <w:spacing w:before="0" w:after="0"/>
        <w:rPr>
          <w:rFonts w:ascii="TimesNewRomanPS-BoldItalicMT" w:hAnsi="TimesNewRomanPS-BoldItalicMT"/>
          <w:b/>
          <w:b/>
          <w:bCs/>
          <w:i/>
          <w:i/>
          <w:iCs/>
          <w:color w:val="000000"/>
          <w:sz w:val="18"/>
          <w:szCs w:val="18"/>
        </w:rPr>
      </w:pPr>
      <w:r>
        <w:rPr>
          <w:rFonts w:ascii="TimesNewRomanPS-BoldItalicMT" w:hAnsi="TimesNewRomanPS-BoldItalicMT"/>
          <w:b/>
          <w:bCs/>
          <w:i/>
          <w:iCs/>
          <w:color w:val="000000"/>
          <w:sz w:val="18"/>
          <w:szCs w:val="18"/>
        </w:rPr>
        <w:t>Телефон для довідок: (0382) 66-49-49.</w:t>
      </w:r>
    </w:p>
    <w:p>
      <w:pPr>
        <w:pStyle w:val="Normal"/>
        <w:spacing w:before="0" w:after="0"/>
        <w:rPr>
          <w:sz w:val="18"/>
          <w:szCs w:val="18"/>
        </w:rPr>
      </w:pPr>
      <w:r>
        <w:rPr>
          <w:sz w:val="18"/>
          <w:szCs w:val="18"/>
        </w:rPr>
      </w:r>
    </w:p>
    <w:sectPr>
      <w:type w:val="nextPage"/>
      <w:pgSz w:w="11906" w:h="16838"/>
      <w:pgMar w:left="1080" w:right="386" w:header="0" w:top="360" w:footer="0" w:bottom="36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NewRomanPS-BoldMT">
    <w:charset w:val="cc"/>
    <w:family w:val="roman"/>
    <w:pitch w:val="variable"/>
  </w:font>
  <w:font w:name="TimesNewRomanPSMT">
    <w:charset w:val="cc"/>
    <w:family w:val="roman"/>
    <w:pitch w:val="variable"/>
  </w:font>
  <w:font w:name="TimesNewRomanPS-BoldItalicMT">
    <w:charset w:val="cc"/>
    <w:family w:val="roman"/>
    <w:pitch w:val="variable"/>
  </w:font>
  <w:font w:name="Liberation Sans">
    <w:altName w:val="Arial"/>
    <w:charset w:val="cc"/>
    <w:family w:val="swiss"/>
    <w:pitch w:val="variable"/>
  </w:font>
  <w:font w:name="Times New Roman">
    <w:charset w:val="cc"/>
    <w:family w:val="roman"/>
    <w:pitch w:val="variable"/>
  </w:font>
  <w:font w:name="TimesNewRomanPSMT">
    <w:charset w:val="cc"/>
    <w:family w:val="auto"/>
    <w:pitch w:val="default"/>
  </w:font>
  <w:font w:name="Courier New">
    <w:charset w:val="cc"/>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TimesNewRomanPSMT" w:hAnsi="TimesNewRomanPSMT" w:cs="TimesNewRomanPSM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decimal"/>
      <w:lvlText w:val="%1"/>
      <w:lvlJc w:val="left"/>
      <w:pPr>
        <w:tabs>
          <w:tab w:val="num" w:pos="0"/>
        </w:tabs>
        <w:ind w:left="720" w:hanging="360"/>
      </w:pPr>
      <w:rPr>
        <w:b/>
        <w:bCs w:val="false"/>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uk-UA" w:eastAsia="en-US" w:bidi="ar-SA"/>
      </w:rPr>
    </w:rPrDefault>
    <w:pPrDefault>
      <w:pPr>
        <w:suppressAutoHyphens w:val="true"/>
      </w:pPr>
    </w:pPrDefault>
  </w:docDefaults>
  <w:style w:type="paragraph" w:styleId="Normal">
    <w:name w:val="Normal"/>
    <w:qFormat/>
    <w:pPr>
      <w:widowControl/>
      <w:kinsoku w:val="true"/>
      <w:overflowPunct w:val="true"/>
      <w:autoSpaceDE w:val="true"/>
      <w:bidi w:val="0"/>
      <w:spacing w:lineRule="auto" w:line="259" w:before="0" w:after="160"/>
      <w:jc w:val="left"/>
    </w:pPr>
    <w:rPr>
      <w:rFonts w:ascii="Calibri" w:hAnsi="Calibri" w:eastAsia="Calibri"/>
      <w:color w:val="auto"/>
      <w:kern w:val="0"/>
      <w:sz w:val="22"/>
      <w:szCs w:val="22"/>
      <w:lang w:val="uk-UA" w:eastAsia="en-US" w:bidi="ar-SA"/>
    </w:rPr>
  </w:style>
  <w:style w:type="character" w:styleId="DefaultParagraphFont">
    <w:name w:val="Default Paragraph Font"/>
    <w:qFormat/>
    <w:rPr/>
  </w:style>
  <w:style w:type="character" w:styleId="Fontstyle01">
    <w:name w:val="fontstyle01"/>
    <w:basedOn w:val="DefaultParagraphFont"/>
    <w:qFormat/>
    <w:rPr>
      <w:rFonts w:ascii="TimesNewRomanPS-BoldMT" w:hAnsi="TimesNewRomanPS-BoldMT"/>
      <w:b/>
      <w:bCs/>
      <w:i w:val="false"/>
      <w:iCs w:val="false"/>
      <w:color w:val="000000"/>
      <w:sz w:val="24"/>
      <w:szCs w:val="24"/>
    </w:rPr>
  </w:style>
  <w:style w:type="character" w:styleId="Fontstyle21">
    <w:name w:val="fontstyle21"/>
    <w:basedOn w:val="DefaultParagraphFont"/>
    <w:qFormat/>
    <w:rPr>
      <w:rFonts w:ascii="TimesNewRomanPSMT" w:hAnsi="TimesNewRomanPSMT"/>
      <w:b w:val="false"/>
      <w:bCs w:val="false"/>
      <w:i w:val="false"/>
      <w:iCs w:val="false"/>
      <w:color w:val="000000"/>
      <w:sz w:val="24"/>
      <w:szCs w:val="24"/>
    </w:rPr>
  </w:style>
  <w:style w:type="character" w:styleId="Fontstyle31">
    <w:name w:val="fontstyle31"/>
    <w:basedOn w:val="DefaultParagraphFont"/>
    <w:qFormat/>
    <w:rPr>
      <w:rFonts w:ascii="TimesNewRomanPS-BoldItalicMT" w:hAnsi="TimesNewRomanPS-BoldItalicMT"/>
      <w:b/>
      <w:bCs/>
      <w:i/>
      <w:iCs/>
      <w:color w:val="000000"/>
      <w:sz w:val="24"/>
      <w:szCs w:val="24"/>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ListParagraph">
    <w:name w:val="List Paragraph"/>
    <w:basedOn w:val="Normal"/>
    <w:qFormat/>
    <w:pPr>
      <w:spacing w:before="0" w:after="160"/>
      <w:ind w:left="720" w:right="0" w:hanging="0"/>
      <w:contextualSpacing/>
    </w:pPr>
    <w:rPr/>
  </w:style>
  <w:style w:type="paragraph" w:styleId="NoSpacing">
    <w:name w:val="No Spacing"/>
    <w:qFormat/>
    <w:pPr>
      <w:widowControl/>
      <w:suppressAutoHyphens w:val="true"/>
      <w:kinsoku w:val="true"/>
      <w:overflowPunct w:val="true"/>
      <w:autoSpaceDE w:val="true"/>
      <w:bidi w:val="0"/>
      <w:spacing w:lineRule="auto" w:line="240" w:before="0" w:after="0"/>
      <w:jc w:val="left"/>
    </w:pPr>
    <w:rPr>
      <w:rFonts w:ascii="Calibri" w:hAnsi="Calibri" w:eastAsia="Times New Roman" w:cs="Calibri"/>
      <w:color w:val="auto"/>
      <w:kern w:val="0"/>
      <w:sz w:val="22"/>
      <w:szCs w:val="22"/>
      <w:lang w:eastAsia="zh-CN" w:val="uk-UA" w:bidi="ar-SA"/>
    </w:rPr>
  </w:style>
  <w:style w:type="paragraph" w:styleId="Style19">
    <w:name w:val="Содержимое таблицы"/>
    <w:basedOn w:val="Normal"/>
    <w:qFormat/>
    <w:pPr>
      <w:widowControl w:val="false"/>
      <w:suppressLineNumbers/>
    </w:pPr>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1324</TotalTime>
  <Application>LibreOffice/7.0.2.2$Windows_X86_64 LibreOffice_project/8349ace3c3162073abd90d81fd06dcfb6b36b994</Application>
  <Pages>1</Pages>
  <Words>606</Words>
  <Characters>4150</Characters>
  <CharactersWithSpaces>4729</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2021-04-13T05:38:00Z</dcterms:created>
  <dc:creator>User1</dc:creator>
  <dc:description/>
  <dc:language>uk-UA</dc:language>
  <cp:lastModifiedBy/>
  <cp:lastPrinted>2021-04-16T12:08:22Z</cp:lastPrinted>
  <dcterms:modified xsi:type="dcterms:W3CDTF">2021-04-19T16:14:25Z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